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Watch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973 RAMP Designing robots with sketches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Watch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2011 Logomotion Game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Draw a 2D sketch with a 2 link arm robot to play Logomotion with the following parameters: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entire robot has to be able to be folded up so that it is less than 60” tall and 48” wide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an arm for each of the following configuration. Make sure the arms have the same dimensions (use relations by selecting multiple lines and setting them equal to each other).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end of the arm must be able to reach 0” (floor pick up)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end of the arm must be able to reach 30” (low peg)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end of the arm must be able to reach 60” (middle peg)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end of the arm must be able to reach 90” (high peg)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more info: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2011 Game Rules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 (missing arm length):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881563" cy="3504712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1563" cy="3504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Each blue arm represents a certain position that it will take to score on that peg.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finishing the activities, we compared what the students came up with and looked over what other teams did for the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Watch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FRC 148’s 2011 Robot</w:t>
        </w:r>
      </w:hyperlink>
      <w:r w:rsidDel="00000000" w:rsidR="00000000" w:rsidRPr="00000000">
        <w:rPr>
          <w:rtl w:val="0"/>
        </w:rPr>
        <w:t xml:space="preserve"> - “Arm” bot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Watch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FRC 254’s 2011 Robot</w:t>
        </w:r>
      </w:hyperlink>
      <w:r w:rsidDel="00000000" w:rsidR="00000000" w:rsidRPr="00000000">
        <w:rPr>
          <w:rtl w:val="0"/>
        </w:rPr>
        <w:t xml:space="preserve"> - “Lift” bot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watch?v=HJVGgaAJefo&amp;list=PL6482FDCCDCC427E5" TargetMode="External"/><Relationship Id="rId9" Type="http://schemas.openxmlformats.org/officeDocument/2006/relationships/hyperlink" Target="https://www.youtube.com/watch?v=XECmOwmYiu8" TargetMode="External"/><Relationship Id="rId5" Type="http://schemas.openxmlformats.org/officeDocument/2006/relationships/hyperlink" Target="https://www.youtube.com/watch?v=_XzdzE0L3HY" TargetMode="External"/><Relationship Id="rId6" Type="http://schemas.openxmlformats.org/officeDocument/2006/relationships/hyperlink" Target="https://www.youtube.com/watch?v=93Tygo0_O5c" TargetMode="External"/><Relationship Id="rId7" Type="http://schemas.openxmlformats.org/officeDocument/2006/relationships/hyperlink" Target="http://www.usfirst.org/uploadedFiles/Robotics_Programs/FRC/Game_and_Season__Info/2011_Assets/Complete_FRC_Game_Manual_22Mar2011.pdf" TargetMode="External"/><Relationship Id="rId8" Type="http://schemas.openxmlformats.org/officeDocument/2006/relationships/image" Target="media/image01.png"/></Relationships>
</file>